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>95/2026/4721</w:t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95/2026/4721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 xml:space="preserve">Gegenstand der Beauftragung sind die zur Umsetzung des unter dem Punkt 1 beschriebenen Vorhabens erforderlichen Fachplanungsleistungen zum Leistungsbild Freianlagenplanung in den Leistungsphasen 1-3 (Stufe 1) und 4-9 (Stufe 2) gemäß § 39 HOAI 2021. 
Der Auftragnehmer hat zu den jeweils beauftragten Leistungsphasen sämtliche Grundleistungen zu erbringen. Vereinbart werden die Honorarzone IV - Basishonorarsatz.
Planungsleistungen werden nach HOAI 2021 stufenweise, wie folgt, vergeben:
Stufe 1: Leistungsphase 1-3
Stufe 2: Leistungsphase 4-9
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